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60" w:rsidRPr="008B2760" w:rsidRDefault="008B2760" w:rsidP="008B2760">
      <w:pPr>
        <w:spacing w:after="0" w:line="240" w:lineRule="auto"/>
        <w:jc w:val="center"/>
        <w:rPr>
          <w:rFonts w:ascii="Arial" w:eastAsia="Times New Roman" w:hAnsi="Arial" w:cs="Arial"/>
          <w:color w:val="000000"/>
          <w:sz w:val="18"/>
          <w:szCs w:val="18"/>
          <w:lang w:eastAsia="es-CO"/>
        </w:rPr>
      </w:pPr>
      <w:r w:rsidRPr="008B2760">
        <w:rPr>
          <w:rFonts w:ascii="Verdana" w:eastAsia="Times New Roman" w:hAnsi="Verdana" w:cs="Arial"/>
          <w:b/>
          <w:bCs/>
          <w:color w:val="0000FF"/>
          <w:sz w:val="28"/>
          <w:szCs w:val="28"/>
          <w:lang w:eastAsia="es-CO"/>
        </w:rPr>
        <w:t>Oficio </w:t>
      </w:r>
      <w:r w:rsidRPr="008B2760">
        <w:rPr>
          <w:rFonts w:ascii="Segoe UI" w:eastAsia="Times New Roman" w:hAnsi="Segoe UI" w:cs="Segoe UI"/>
          <w:b/>
          <w:bCs/>
          <w:color w:val="0000FF"/>
          <w:sz w:val="28"/>
          <w:szCs w:val="28"/>
          <w:lang w:eastAsia="es-CO"/>
        </w:rPr>
        <w:t>N° 000650</w:t>
      </w:r>
    </w:p>
    <w:p w:rsidR="008B2760" w:rsidRPr="008B2760" w:rsidRDefault="008B2760" w:rsidP="008B2760">
      <w:pPr>
        <w:spacing w:after="0" w:line="240" w:lineRule="auto"/>
        <w:jc w:val="center"/>
        <w:rPr>
          <w:rFonts w:ascii="Arial" w:eastAsia="Times New Roman" w:hAnsi="Arial" w:cs="Arial"/>
          <w:color w:val="000000"/>
          <w:sz w:val="18"/>
          <w:szCs w:val="18"/>
          <w:lang w:eastAsia="es-CO"/>
        </w:rPr>
      </w:pPr>
      <w:r w:rsidRPr="008B2760">
        <w:rPr>
          <w:rFonts w:ascii="Segoe UI" w:eastAsia="Times New Roman" w:hAnsi="Segoe UI" w:cs="Segoe UI"/>
          <w:b/>
          <w:bCs/>
          <w:color w:val="0000FF"/>
          <w:sz w:val="28"/>
          <w:szCs w:val="28"/>
          <w:lang w:eastAsia="es-CO"/>
        </w:rPr>
        <w:t>30-06-2016</w:t>
      </w:r>
    </w:p>
    <w:p w:rsidR="008B2760" w:rsidRPr="008B2760" w:rsidRDefault="008B2760" w:rsidP="008B2760">
      <w:pPr>
        <w:spacing w:after="0" w:line="240" w:lineRule="auto"/>
        <w:jc w:val="center"/>
        <w:rPr>
          <w:rFonts w:ascii="Arial" w:eastAsia="Times New Roman" w:hAnsi="Arial" w:cs="Arial"/>
          <w:color w:val="000000"/>
          <w:sz w:val="18"/>
          <w:szCs w:val="18"/>
          <w:lang w:eastAsia="es-CO"/>
        </w:rPr>
      </w:pPr>
      <w:r w:rsidRPr="008B2760">
        <w:rPr>
          <w:rFonts w:ascii="Segoe UI" w:eastAsia="Times New Roman" w:hAnsi="Segoe UI" w:cs="Segoe UI"/>
          <w:b/>
          <w:bCs/>
          <w:color w:val="0000FF"/>
          <w:sz w:val="28"/>
          <w:szCs w:val="28"/>
          <w:lang w:eastAsia="es-CO"/>
        </w:rPr>
        <w:t>Dian</w:t>
      </w:r>
    </w:p>
    <w:p w:rsidR="008B2760" w:rsidRPr="008B2760" w:rsidRDefault="008B2760" w:rsidP="008B2760">
      <w:pPr>
        <w:spacing w:after="0" w:line="240" w:lineRule="auto"/>
        <w:jc w:val="center"/>
        <w:rPr>
          <w:rFonts w:ascii="Arial" w:eastAsia="Times New Roman" w:hAnsi="Arial" w:cs="Arial"/>
          <w:color w:val="000000"/>
          <w:sz w:val="18"/>
          <w:szCs w:val="18"/>
          <w:lang w:eastAsia="es-CO"/>
        </w:rPr>
      </w:pPr>
      <w:r w:rsidRPr="008B2760">
        <w:rPr>
          <w:rFonts w:ascii="Segoe UI" w:eastAsia="Times New Roman" w:hAnsi="Segoe UI" w:cs="Segoe UI"/>
          <w:b/>
          <w:bCs/>
          <w:color w:val="0000FF"/>
          <w:sz w:val="28"/>
          <w:szCs w:val="2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b/>
          <w:bCs/>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Bogotá, D.C.</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Señor</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b/>
          <w:bCs/>
          <w:color w:val="000000"/>
          <w:sz w:val="18"/>
          <w:szCs w:val="18"/>
          <w:lang w:eastAsia="es-CO"/>
        </w:rPr>
        <w:t>JOSÉ MANUEL BELTRÁN BUENDÍA</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proofErr w:type="spellStart"/>
      <w:r w:rsidRPr="008B2760">
        <w:rPr>
          <w:rFonts w:ascii="Segoe UI" w:eastAsia="Times New Roman" w:hAnsi="Segoe UI" w:cs="Segoe UI"/>
          <w:color w:val="000000"/>
          <w:sz w:val="18"/>
          <w:szCs w:val="18"/>
          <w:lang w:eastAsia="es-CO"/>
        </w:rPr>
        <w:t>asesomeiva@hotmail.com</w:t>
      </w:r>
      <w:proofErr w:type="spellEnd"/>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Ref.: Radicado No. 006398 del 15 de marzo de 2016</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b/>
          <w:bCs/>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b/>
          <w:bCs/>
          <w:color w:val="000000"/>
          <w:sz w:val="18"/>
          <w:szCs w:val="18"/>
          <w:lang w:eastAsia="es-CO"/>
        </w:rPr>
        <w:t>Tema </w:t>
      </w:r>
      <w:r w:rsidRPr="008B2760">
        <w:rPr>
          <w:rFonts w:ascii="Segoe UI" w:eastAsia="Times New Roman" w:hAnsi="Segoe UI" w:cs="Segoe UI"/>
          <w:color w:val="000000"/>
          <w:sz w:val="18"/>
          <w:szCs w:val="18"/>
          <w:lang w:eastAsia="es-CO"/>
        </w:rPr>
        <w:t>Procedimiento Tributario</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b/>
          <w:bCs/>
          <w:color w:val="000000"/>
          <w:sz w:val="18"/>
          <w:szCs w:val="18"/>
          <w:lang w:eastAsia="es-CO"/>
        </w:rPr>
        <w:t>Descriptores </w:t>
      </w:r>
      <w:r w:rsidRPr="008B2760">
        <w:rPr>
          <w:rFonts w:ascii="Segoe UI" w:eastAsia="Times New Roman" w:hAnsi="Segoe UI" w:cs="Segoe UI"/>
          <w:color w:val="000000"/>
          <w:sz w:val="18"/>
          <w:szCs w:val="18"/>
          <w:lang w:eastAsia="es-CO"/>
        </w:rPr>
        <w:t>Normas Internacionales de Información Financiera</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b/>
          <w:bCs/>
          <w:color w:val="000000"/>
          <w:sz w:val="18"/>
          <w:szCs w:val="18"/>
          <w:lang w:eastAsia="es-CO"/>
        </w:rPr>
        <w:t>Fuentes formales </w:t>
      </w:r>
      <w:r w:rsidRPr="008B2760">
        <w:rPr>
          <w:rFonts w:ascii="Segoe UI" w:eastAsia="Times New Roman" w:hAnsi="Segoe UI" w:cs="Segoe UI"/>
          <w:color w:val="000000"/>
          <w:sz w:val="18"/>
          <w:szCs w:val="18"/>
          <w:lang w:eastAsia="es-CO"/>
        </w:rPr>
        <w:t>Artículos 2.2.1.1.1.5.2 del Decreto 1082 de 2015, 165 de la Ley 1607 de 2012, 2o, 3o y 4o del Decreto 2548 de 2014.</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xml:space="preserve">Cordial saludo Sr. Beltrán </w:t>
      </w:r>
      <w:proofErr w:type="spellStart"/>
      <w:r w:rsidRPr="008B2760">
        <w:rPr>
          <w:rFonts w:ascii="Segoe UI" w:eastAsia="Times New Roman" w:hAnsi="Segoe UI" w:cs="Segoe UI"/>
          <w:color w:val="000000"/>
          <w:sz w:val="18"/>
          <w:szCs w:val="18"/>
          <w:lang w:eastAsia="es-CO"/>
        </w:rPr>
        <w:t>Buendia</w:t>
      </w:r>
      <w:proofErr w:type="spellEnd"/>
      <w:r w:rsidRPr="008B2760">
        <w:rPr>
          <w:rFonts w:ascii="Segoe UI" w:eastAsia="Times New Roman" w:hAnsi="Segoe UI" w:cs="Segoe UI"/>
          <w:color w:val="000000"/>
          <w:sz w:val="18"/>
          <w:szCs w:val="18"/>
          <w:lang w:eastAsia="es-CO"/>
        </w:rPr>
        <w:t>.</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Mediante el radicado de la referencia solicita </w:t>
      </w:r>
      <w:r w:rsidRPr="008B2760">
        <w:rPr>
          <w:rFonts w:ascii="Segoe UI" w:eastAsia="Times New Roman" w:hAnsi="Segoe UI" w:cs="Segoe UI"/>
          <w:i/>
          <w:iCs/>
          <w:color w:val="000000"/>
          <w:sz w:val="18"/>
          <w:szCs w:val="18"/>
          <w:lang w:eastAsia="es-CO"/>
        </w:rPr>
        <w:t>"se aclare si los Estados Financieros </w:t>
      </w:r>
      <w:r w:rsidRPr="008B2760">
        <w:rPr>
          <w:rFonts w:ascii="Segoe UI" w:eastAsia="Times New Roman" w:hAnsi="Segoe UI" w:cs="Segoe UI"/>
          <w:color w:val="000000"/>
          <w:sz w:val="18"/>
          <w:szCs w:val="18"/>
          <w:lang w:eastAsia="es-CO"/>
        </w:rPr>
        <w:t>a </w:t>
      </w:r>
      <w:r w:rsidRPr="008B2760">
        <w:rPr>
          <w:rFonts w:ascii="Segoe UI" w:eastAsia="Times New Roman" w:hAnsi="Segoe UI" w:cs="Segoe UI"/>
          <w:i/>
          <w:iCs/>
          <w:color w:val="000000"/>
          <w:sz w:val="18"/>
          <w:szCs w:val="18"/>
          <w:lang w:eastAsia="es-CO"/>
        </w:rPr>
        <w:t>presentar en las inscripciones o renovaciones del RUP, ante las Cámaras de Comercio, se deben presentar bajo NIIF".</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Sobre el particular, el artículo 2.2.1.1.1.5.2 del Decreto 1082 de 2015 — Decreto Único Reglamentario del sector Administrativo de Planeación Nacional - dispone que los interesados en participar en procesos de contratación convocados por las entidades estatales deben presentar a cualquier Cámara de Comercio del país una solicitud de inscripción en el Registro Único de Proponentes (RUP), acompañada, entre otra información, de la </w:t>
      </w:r>
      <w:r w:rsidRPr="008B2760">
        <w:rPr>
          <w:rFonts w:ascii="Segoe UI" w:eastAsia="Times New Roman" w:hAnsi="Segoe UI" w:cs="Segoe UI"/>
          <w:i/>
          <w:iCs/>
          <w:color w:val="000000"/>
          <w:sz w:val="18"/>
          <w:szCs w:val="18"/>
          <w:lang w:eastAsia="es-CO"/>
        </w:rPr>
        <w:t>"copia de la información contable del último año </w:t>
      </w:r>
      <w:r w:rsidRPr="008B2760">
        <w:rPr>
          <w:rFonts w:ascii="Segoe UI" w:eastAsia="Times New Roman" w:hAnsi="Segoe UI" w:cs="Segoe UI"/>
          <w:b/>
          <w:bCs/>
          <w:i/>
          <w:iCs/>
          <w:color w:val="000000"/>
          <w:sz w:val="18"/>
          <w:szCs w:val="18"/>
          <w:lang w:eastAsia="es-CO"/>
        </w:rPr>
        <w:t>exigida por las normas tributarias</w:t>
      </w:r>
      <w:r w:rsidRPr="008B2760">
        <w:rPr>
          <w:rFonts w:ascii="Segoe UI" w:eastAsia="Times New Roman" w:hAnsi="Segoe UI" w:cs="Segoe UI"/>
          <w:color w:val="000000"/>
          <w:sz w:val="18"/>
          <w:szCs w:val="18"/>
          <w:lang w:eastAsia="es-CO"/>
        </w:rPr>
        <w:t>” (negrilla fuera de texto), si la persona está obligada a llevar contabilidad (numeral 1.3 </w:t>
      </w:r>
      <w:r w:rsidRPr="008B2760">
        <w:rPr>
          <w:rFonts w:ascii="Segoe UI" w:eastAsia="Times New Roman" w:hAnsi="Segoe UI" w:cs="Segoe UI"/>
          <w:i/>
          <w:iCs/>
          <w:color w:val="000000"/>
          <w:sz w:val="18"/>
          <w:szCs w:val="18"/>
          <w:lang w:eastAsia="es-CO"/>
        </w:rPr>
        <w:t>ibídem</w:t>
      </w:r>
      <w:r w:rsidRPr="008B2760">
        <w:rPr>
          <w:rFonts w:ascii="Segoe UI" w:eastAsia="Times New Roman" w:hAnsi="Segoe UI" w:cs="Segoe UI"/>
          <w:color w:val="000000"/>
          <w:sz w:val="18"/>
          <w:szCs w:val="18"/>
          <w:lang w:eastAsia="es-CO"/>
        </w:rPr>
        <w:t>).</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Así las cosas ¿qué se debe entender por la información contable exigida por las normas tributarias?</w:t>
      </w:r>
    </w:p>
    <w:p w:rsidR="00006AFC" w:rsidRDefault="00006AFC" w:rsidP="008B2760">
      <w:pPr>
        <w:spacing w:after="0" w:line="240" w:lineRule="auto"/>
        <w:jc w:val="both"/>
        <w:rPr>
          <w:rFonts w:ascii="Segoe UI" w:eastAsia="Times New Roman" w:hAnsi="Segoe UI" w:cs="Segoe UI"/>
          <w:color w:val="000000"/>
          <w:sz w:val="18"/>
          <w:szCs w:val="18"/>
          <w:lang w:eastAsia="es-CO"/>
        </w:rPr>
      </w:pPr>
    </w:p>
    <w:p w:rsidR="008B2760" w:rsidRPr="008B2760" w:rsidRDefault="008B2760" w:rsidP="008B2760">
      <w:pPr>
        <w:spacing w:after="0" w:line="240" w:lineRule="auto"/>
        <w:jc w:val="both"/>
        <w:rPr>
          <w:rFonts w:ascii="Arial" w:eastAsia="Times New Roman" w:hAnsi="Arial" w:cs="Arial"/>
          <w:color w:val="000000"/>
          <w:sz w:val="18"/>
          <w:szCs w:val="18"/>
          <w:lang w:eastAsia="es-CO"/>
        </w:rPr>
      </w:pPr>
      <w:bookmarkStart w:id="0" w:name="_GoBack"/>
      <w:bookmarkEnd w:id="0"/>
      <w:r w:rsidRPr="008B2760">
        <w:rPr>
          <w:rFonts w:ascii="Segoe UI" w:eastAsia="Times New Roman" w:hAnsi="Segoe UI" w:cs="Segoe UI"/>
          <w:color w:val="000000"/>
          <w:sz w:val="18"/>
          <w:szCs w:val="18"/>
          <w:lang w:eastAsia="es-CO"/>
        </w:rPr>
        <w:t>Se debe tener presente que, en atención al artículo 165 de la Ley 1607 de 2012, </w:t>
      </w:r>
      <w:r w:rsidRPr="008B2760">
        <w:rPr>
          <w:rFonts w:ascii="Segoe UI" w:eastAsia="Times New Roman" w:hAnsi="Segoe UI" w:cs="Segoe UI"/>
          <w:i/>
          <w:iCs/>
          <w:color w:val="000000"/>
          <w:sz w:val="18"/>
          <w:szCs w:val="18"/>
          <w:lang w:eastAsia="es-CO"/>
        </w:rPr>
        <w:t>"para efectos tributarios, </w:t>
      </w:r>
      <w:r w:rsidRPr="008B2760">
        <w:rPr>
          <w:rFonts w:ascii="Segoe UI" w:eastAsia="Times New Roman" w:hAnsi="Segoe UI" w:cs="Segoe UI"/>
          <w:b/>
          <w:bCs/>
          <w:i/>
          <w:iCs/>
          <w:color w:val="000000"/>
          <w:sz w:val="18"/>
          <w:szCs w:val="18"/>
          <w:lang w:eastAsia="es-CO"/>
        </w:rPr>
        <w:t>las remisiones contenidas en las normas tributarias a las normas contables, continuarán vigentes durante los cuatro (4) años siguientes a la entrada en vigencia de las Normas Internacionales de Información Financiera –NIIF-, </w:t>
      </w:r>
      <w:r w:rsidRPr="008B2760">
        <w:rPr>
          <w:rFonts w:ascii="Segoe UI" w:eastAsia="Times New Roman" w:hAnsi="Segoe UI" w:cs="Segoe UI"/>
          <w:i/>
          <w:iCs/>
          <w:color w:val="000000"/>
          <w:sz w:val="18"/>
          <w:szCs w:val="18"/>
          <w:lang w:eastAsia="es-CO"/>
        </w:rPr>
        <w:t>con el fin de que durante ese periodo se puedan medir los impactos tributarios y proponer la adopción de las disposiciones legislativas que correspondan" </w:t>
      </w:r>
      <w:r w:rsidRPr="008B2760">
        <w:rPr>
          <w:rFonts w:ascii="Segoe UI" w:eastAsia="Times New Roman" w:hAnsi="Segoe UI" w:cs="Segoe UI"/>
          <w:color w:val="000000"/>
          <w:sz w:val="18"/>
          <w:szCs w:val="18"/>
          <w:lang w:eastAsia="es-CO"/>
        </w:rPr>
        <w:t>(negrilla fuera de texto).</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A su vez, el artículo 2o del Decreto 2548 de 2014 precisa que “</w:t>
      </w:r>
      <w:r w:rsidRPr="008B2760">
        <w:rPr>
          <w:rFonts w:ascii="Segoe UI" w:eastAsia="Times New Roman" w:hAnsi="Segoe UI" w:cs="Segoe UI"/>
          <w:i/>
          <w:iCs/>
          <w:color w:val="000000"/>
          <w:sz w:val="18"/>
          <w:szCs w:val="18"/>
          <w:lang w:eastAsia="es-CO"/>
        </w:rPr>
        <w:t>las remisiones contenidas en las normas tributarias a las normas contables, se entenderán hechas para efectos tributarios a los Decretos 2649 de 1993 y 2650 de 1993, los planes únicos de cuentas según corresponda a cada Superintendencia o a la Contaduría General de la Nación</w:t>
      </w:r>
      <w:r w:rsidRPr="008B2760">
        <w:rPr>
          <w:rFonts w:ascii="Segoe UI" w:eastAsia="Times New Roman" w:hAnsi="Segoe UI" w:cs="Segoe UI"/>
          <w:color w:val="000000"/>
          <w:sz w:val="18"/>
          <w:szCs w:val="18"/>
          <w:lang w:eastAsia="es-CO"/>
        </w:rPr>
        <w:t>, </w:t>
      </w:r>
      <w:r w:rsidRPr="008B2760">
        <w:rPr>
          <w:rFonts w:ascii="Segoe UI" w:eastAsia="Times New Roman" w:hAnsi="Segoe UI" w:cs="Segoe UI"/>
          <w:i/>
          <w:iCs/>
          <w:color w:val="000000"/>
          <w:sz w:val="18"/>
          <w:szCs w:val="18"/>
          <w:lang w:eastAsia="es-CO"/>
        </w:rPr>
        <w:t>las normas técnicas establecidas por las superintendencias vigentes </w:t>
      </w:r>
      <w:r w:rsidRPr="008B2760">
        <w:rPr>
          <w:rFonts w:ascii="Segoe UI" w:eastAsia="Times New Roman" w:hAnsi="Segoe UI" w:cs="Segoe UI"/>
          <w:color w:val="000000"/>
          <w:sz w:val="18"/>
          <w:szCs w:val="18"/>
          <w:lang w:eastAsia="es-CO"/>
        </w:rPr>
        <w:t>y </w:t>
      </w:r>
      <w:r w:rsidRPr="008B2760">
        <w:rPr>
          <w:rFonts w:ascii="Segoe UI" w:eastAsia="Times New Roman" w:hAnsi="Segoe UI" w:cs="Segoe UI"/>
          <w:i/>
          <w:iCs/>
          <w:color w:val="000000"/>
          <w:sz w:val="18"/>
          <w:szCs w:val="18"/>
          <w:lang w:eastAsia="es-CO"/>
        </w:rPr>
        <w:t>aplicables a 31 de diciembre de 2014 o aquellas normas técnicas expedidas por la Contaduría General de la Nación vigentes y aplicables a 31 de diciembre de 2014, según sea el caso”.</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Asimismo, es menester recordar que, con ocasión de lo anterior, los contribuyentes obligados a llevar contabilidad deben llevar adicionalmente un sistema de registros obligatorios (artículo 3o </w:t>
      </w:r>
      <w:r w:rsidRPr="008B2760">
        <w:rPr>
          <w:rFonts w:ascii="Segoe UI" w:eastAsia="Times New Roman" w:hAnsi="Segoe UI" w:cs="Segoe UI"/>
          <w:i/>
          <w:iCs/>
          <w:color w:val="000000"/>
          <w:sz w:val="18"/>
          <w:szCs w:val="18"/>
          <w:lang w:eastAsia="es-CO"/>
        </w:rPr>
        <w:t>ibídem) </w:t>
      </w:r>
      <w:r w:rsidRPr="008B2760">
        <w:rPr>
          <w:rFonts w:ascii="Segoe UI" w:eastAsia="Times New Roman" w:hAnsi="Segoe UI" w:cs="Segoe UI"/>
          <w:color w:val="000000"/>
          <w:sz w:val="18"/>
          <w:szCs w:val="18"/>
          <w:lang w:eastAsia="es-CO"/>
        </w:rPr>
        <w:t>o un libro tributario (artículo 4o </w:t>
      </w:r>
      <w:r w:rsidRPr="008B2760">
        <w:rPr>
          <w:rFonts w:ascii="Segoe UI" w:eastAsia="Times New Roman" w:hAnsi="Segoe UI" w:cs="Segoe UI"/>
          <w:i/>
          <w:iCs/>
          <w:color w:val="000000"/>
          <w:sz w:val="18"/>
          <w:szCs w:val="18"/>
          <w:lang w:eastAsia="es-CO"/>
        </w:rPr>
        <w:t>ibídem</w:t>
      </w:r>
      <w:r w:rsidRPr="008B2760">
        <w:rPr>
          <w:rFonts w:ascii="Segoe UI" w:eastAsia="Times New Roman" w:hAnsi="Segoe UI" w:cs="Segoe UI"/>
          <w:color w:val="000000"/>
          <w:sz w:val="18"/>
          <w:szCs w:val="18"/>
          <w:lang w:eastAsia="es-CO"/>
        </w:rPr>
        <w:t>), cualquiera de los dos, para lo cual, en el primero reconocerán </w:t>
      </w:r>
      <w:r w:rsidRPr="008B2760">
        <w:rPr>
          <w:rFonts w:ascii="Segoe UI" w:eastAsia="Times New Roman" w:hAnsi="Segoe UI" w:cs="Segoe UI"/>
          <w:i/>
          <w:iCs/>
          <w:color w:val="000000"/>
          <w:sz w:val="18"/>
          <w:szCs w:val="18"/>
          <w:lang w:eastAsia="es-CO"/>
        </w:rPr>
        <w:t>“las diferencias que surjan entre los nuevos marcos técnicos normativos y (...) las bases fiscales” </w:t>
      </w:r>
      <w:r w:rsidRPr="008B2760">
        <w:rPr>
          <w:rFonts w:ascii="Segoe UI" w:eastAsia="Times New Roman" w:hAnsi="Segoe UI" w:cs="Segoe UI"/>
          <w:color w:val="000000"/>
          <w:sz w:val="18"/>
          <w:szCs w:val="18"/>
          <w:lang w:eastAsia="es-CO"/>
        </w:rPr>
        <w:t>mientras que en el segundo registrarán todos los hechos económicos </w:t>
      </w:r>
      <w:r w:rsidRPr="008B2760">
        <w:rPr>
          <w:rFonts w:ascii="Segoe UI" w:eastAsia="Times New Roman" w:hAnsi="Segoe UI" w:cs="Segoe UI"/>
          <w:i/>
          <w:iCs/>
          <w:color w:val="000000"/>
          <w:sz w:val="18"/>
          <w:szCs w:val="18"/>
          <w:lang w:eastAsia="es-CO"/>
        </w:rPr>
        <w:t>“los cuales deberán estar debidamente soportados por documentos, comprobantes internos y/o externos”</w:t>
      </w:r>
      <w:r w:rsidRPr="008B2760">
        <w:rPr>
          <w:rFonts w:ascii="Segoe UI" w:eastAsia="Times New Roman" w:hAnsi="Segoe UI" w:cs="Segoe UI"/>
          <w:color w:val="000000"/>
          <w:sz w:val="18"/>
          <w:szCs w:val="18"/>
          <w:lang w:eastAsia="es-CO"/>
        </w:rPr>
        <w:t>.</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Luego, de lo antepuesto resulta razonable colegir que hasta el 31 de diciembre de 2018 - para los preparadores de información pertenecientes a los grupos 1 y 3 - y el 31 de diciembre de 2019 - para los preparadores de información pertenecientes al grupo 2 - la información contable exigida por las normas tributarias, mencionada en el artículo 2.2.1.1.1.5.2 del Decreto 1082 de 2015, es aquella que tiene como único propósito la determinación de bases fiscales a partir de COL-GAAP y que se encuentra soportada en el sistema de registros obligatorios o en el libro tributario, llevados conforme lo exige el Decreto 2548 de 2014.</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lastRenderedPageBreak/>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Acaecidas las mencionadas fechas y ante la pérdida de vigencia del tratamiento previsto en el artículo 165 de la Ley 1607 de 2012 por cumplimiento del plazo, sin perjuicio de que el legislador disponga otra cosa, la información contable exigida por las normas tributarias será la determinada a partir de las Normas Internacionales de Información Financiera - NIIF.</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Arial" w:eastAsia="Times New Roman" w:hAnsi="Arial" w:cs="Arial"/>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Atentamente,</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b/>
          <w:bCs/>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b/>
          <w:bCs/>
          <w:color w:val="000000"/>
          <w:sz w:val="18"/>
          <w:szCs w:val="18"/>
          <w:lang w:eastAsia="es-CO"/>
        </w:rPr>
        <w:t>PEDRO PABLO CONTRERAS CAMARGO</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Subdirector de Gestión Normativa y Doctrina</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C.C.</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Señor</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 xml:space="preserve">WILMAR FRANCO </w:t>
      </w:r>
      <w:proofErr w:type="spellStart"/>
      <w:r w:rsidRPr="008B2760">
        <w:rPr>
          <w:rFonts w:ascii="Segoe UI" w:eastAsia="Times New Roman" w:hAnsi="Segoe UI" w:cs="Segoe UI"/>
          <w:color w:val="000000"/>
          <w:sz w:val="18"/>
          <w:szCs w:val="18"/>
          <w:lang w:eastAsia="es-CO"/>
        </w:rPr>
        <w:t>FRANCO</w:t>
      </w:r>
      <w:proofErr w:type="spellEnd"/>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Presidente</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Consejo Técnico de la Contaduría Pública</w:t>
      </w:r>
    </w:p>
    <w:p w:rsidR="008B2760" w:rsidRPr="008B2760" w:rsidRDefault="008B2760" w:rsidP="008B2760">
      <w:pPr>
        <w:spacing w:after="0"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 w:val="18"/>
          <w:szCs w:val="18"/>
          <w:lang w:eastAsia="es-CO"/>
        </w:rPr>
        <w:t>Calle 28 #13A-15</w:t>
      </w:r>
    </w:p>
    <w:p w:rsidR="008B2760" w:rsidRPr="008B2760" w:rsidRDefault="008B2760" w:rsidP="008B2760">
      <w:pPr>
        <w:spacing w:line="240" w:lineRule="auto"/>
        <w:jc w:val="both"/>
        <w:rPr>
          <w:rFonts w:ascii="Arial" w:eastAsia="Times New Roman" w:hAnsi="Arial" w:cs="Arial"/>
          <w:color w:val="000000"/>
          <w:sz w:val="18"/>
          <w:szCs w:val="18"/>
          <w:lang w:eastAsia="es-CO"/>
        </w:rPr>
      </w:pPr>
      <w:r w:rsidRPr="008B2760">
        <w:rPr>
          <w:rFonts w:ascii="Segoe UI" w:eastAsia="Times New Roman" w:hAnsi="Segoe UI" w:cs="Segoe UI"/>
          <w:color w:val="000000"/>
          <w:szCs w:val="24"/>
          <w:lang w:eastAsia="es-CO"/>
        </w:rPr>
        <w:t>Bogotá D.C.</w:t>
      </w:r>
    </w:p>
    <w:p w:rsidR="008B2760" w:rsidRPr="008B2760" w:rsidRDefault="008B2760" w:rsidP="008B2760">
      <w:pPr>
        <w:spacing w:after="285" w:line="240" w:lineRule="auto"/>
        <w:jc w:val="both"/>
        <w:rPr>
          <w:rFonts w:ascii="Arial" w:eastAsia="Times New Roman" w:hAnsi="Arial" w:cs="Arial"/>
          <w:color w:val="000000"/>
          <w:sz w:val="18"/>
          <w:szCs w:val="18"/>
          <w:lang w:eastAsia="es-CO"/>
        </w:rPr>
      </w:pPr>
      <w:r w:rsidRPr="008B2760">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60"/>
    <w:rsid w:val="00006AFC"/>
    <w:rsid w:val="0029351E"/>
    <w:rsid w:val="008B2760"/>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FF152-63CC-4A17-A70A-39A0773A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2016-07-22T02:28:00Z</dcterms:created>
  <dcterms:modified xsi:type="dcterms:W3CDTF">2016-07-22T02:47:00Z</dcterms:modified>
</cp:coreProperties>
</file>